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7B1AD" w14:textId="454DD89F" w:rsidR="003775E1" w:rsidRDefault="003775E1" w:rsidP="003775E1">
      <w:pPr>
        <w:pStyle w:val="Header"/>
        <w:tabs>
          <w:tab w:val="right" w:pos="8280"/>
          <w:tab w:val="right" w:pos="9781"/>
        </w:tabs>
        <w:spacing w:before="120"/>
        <w:ind w:right="-58"/>
        <w:rPr>
          <w:rFonts w:ascii="Arial" w:eastAsia="MS Mincho" w:hAnsi="Arial" w:cs="Arial"/>
          <w:b/>
          <w:bCs/>
          <w:kern w:val="0"/>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84bis</w:t>
      </w:r>
      <w:r>
        <w:rPr>
          <w:rFonts w:ascii="Arial" w:eastAsia="MS Mincho" w:hAnsi="Arial" w:cs="Arial"/>
          <w:b/>
          <w:bCs/>
          <w:sz w:val="28"/>
          <w:lang w:eastAsia="ja-JP"/>
        </w:rPr>
        <w:tab/>
        <w:t>R1-16</w:t>
      </w:r>
      <w:r w:rsidR="007C067B">
        <w:rPr>
          <w:rFonts w:ascii="Arial" w:eastAsia="MS Mincho" w:hAnsi="Arial" w:cs="Arial"/>
          <w:b/>
          <w:bCs/>
          <w:sz w:val="28"/>
          <w:lang w:eastAsia="ja-JP"/>
        </w:rPr>
        <w:t>3049</w:t>
      </w:r>
    </w:p>
    <w:p w14:paraId="35181DA7" w14:textId="39E4ABB2" w:rsidR="003775E1" w:rsidRDefault="003775E1" w:rsidP="003775E1">
      <w:pPr>
        <w:pStyle w:val="Header"/>
        <w:spacing w:before="120"/>
        <w:rPr>
          <w:rFonts w:ascii="Arial" w:eastAsia="MS Mincho" w:hAnsi="Arial" w:cs="Arial"/>
          <w:b/>
          <w:bCs/>
          <w:sz w:val="28"/>
          <w:lang w:eastAsia="ja-JP"/>
        </w:rPr>
      </w:pPr>
      <w:r>
        <w:rPr>
          <w:rFonts w:ascii="Arial" w:eastAsia="MS Mincho" w:hAnsi="Arial" w:cs="Arial"/>
          <w:b/>
          <w:bCs/>
          <w:sz w:val="28"/>
          <w:lang w:eastAsia="ja-JP"/>
        </w:rPr>
        <w:t>Busan, Korea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2016</w:t>
      </w:r>
    </w:p>
    <w:p w14:paraId="62B64A05" w14:textId="10BED0A1"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744E7DC2"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775E1">
        <w:rPr>
          <w:rFonts w:ascii="Arial" w:hAnsi="Arial" w:cs="Arial"/>
          <w:snapToGrid w:val="0"/>
          <w:sz w:val="24"/>
        </w:rPr>
        <w:t>7.3.5.</w:t>
      </w:r>
      <w:r w:rsidR="00CC3148">
        <w:rPr>
          <w:rFonts w:ascii="Arial" w:hAnsi="Arial" w:cs="Arial"/>
          <w:snapToGrid w:val="0"/>
          <w:sz w:val="24"/>
        </w:rPr>
        <w:t>1</w:t>
      </w:r>
    </w:p>
    <w:p w14:paraId="41E492CE" w14:textId="15188A54"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0D12EF18" w14:textId="47E72743" w:rsidR="00CC3148" w:rsidRDefault="002A2420" w:rsidP="00CC3148">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CC3148" w:rsidRPr="00CC3148">
        <w:rPr>
          <w:rFonts w:ascii="Arial" w:hAnsi="Arial" w:cs="Arial"/>
          <w:snapToGrid w:val="0"/>
          <w:sz w:val="24"/>
        </w:rPr>
        <w:t xml:space="preserve">Design options for longer cyclic prefix for MBSFN </w:t>
      </w:r>
      <w:proofErr w:type="spellStart"/>
      <w:r w:rsidR="00CC3148" w:rsidRPr="00CC3148">
        <w:rPr>
          <w:rFonts w:ascii="Arial" w:hAnsi="Arial" w:cs="Arial"/>
          <w:snapToGrid w:val="0"/>
          <w:sz w:val="24"/>
        </w:rPr>
        <w:t>subframes</w:t>
      </w:r>
      <w:proofErr w:type="spellEnd"/>
    </w:p>
    <w:p w14:paraId="243C1E78" w14:textId="77777777" w:rsidR="00CF417F" w:rsidRPr="000F29F8" w:rsidRDefault="002A2420" w:rsidP="00CF417F">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3169AEB2" w14:textId="77777777" w:rsidR="00CF417F" w:rsidRPr="00392E7D" w:rsidRDefault="00CF417F" w:rsidP="00CF417F">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2EE47EDF" w:rsidR="00111B9A" w:rsidRPr="00111B9A"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sidRPr="00CF417F">
        <w:rPr>
          <w:rFonts w:ascii="Times New Roman"/>
          <w:snapToGrid w:val="0"/>
          <w:kern w:val="0"/>
          <w:sz w:val="22"/>
          <w:szCs w:val="22"/>
          <w:lang w:val="en-GB"/>
        </w:rPr>
        <w:t>eMBMS</w:t>
      </w:r>
      <w:proofErr w:type="spellEnd"/>
      <w:r w:rsidRPr="00CF417F">
        <w:rPr>
          <w:rFonts w:ascii="Times New Roman"/>
          <w:snapToGrid w:val="0"/>
          <w:kern w:val="0"/>
          <w:sz w:val="22"/>
          <w:szCs w:val="22"/>
          <w:lang w:val="en-GB"/>
        </w:rPr>
        <w:t xml:space="preserve"> enhancement for LTE</w:t>
      </w:r>
      <w:r w:rsidR="00CF417F">
        <w:rPr>
          <w:rFonts w:ascii="Times New Roman"/>
          <w:snapToGrid w:val="0"/>
          <w:kern w:val="0"/>
          <w:sz w:val="22"/>
          <w:szCs w:val="22"/>
          <w:lang w:val="en-GB"/>
        </w:rPr>
        <w:t xml:space="preserve"> [1] was introduced. The </w:t>
      </w:r>
      <w:r>
        <w:rPr>
          <w:rFonts w:ascii="Times New Roman"/>
          <w:snapToGrid w:val="0"/>
          <w:kern w:val="0"/>
          <w:sz w:val="22"/>
          <w:szCs w:val="22"/>
          <w:lang w:val="en-GB"/>
        </w:rPr>
        <w:t xml:space="preserve">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and study standalone carrier. In this document we provide our views on the support of </w:t>
      </w:r>
      <w:r w:rsidR="00CC3148">
        <w:rPr>
          <w:rFonts w:ascii="Times New Roman"/>
          <w:snapToGrid w:val="0"/>
          <w:kern w:val="0"/>
          <w:sz w:val="22"/>
          <w:szCs w:val="22"/>
          <w:lang w:val="en-GB"/>
        </w:rPr>
        <w:t xml:space="preserve">longer CP for MBSFN </w:t>
      </w:r>
      <w:proofErr w:type="spellStart"/>
      <w:r w:rsidR="00CC3148">
        <w:rPr>
          <w:rFonts w:ascii="Times New Roman"/>
          <w:snapToGrid w:val="0"/>
          <w:kern w:val="0"/>
          <w:sz w:val="22"/>
          <w:szCs w:val="22"/>
          <w:lang w:val="en-GB"/>
        </w:rPr>
        <w:t>subframes</w:t>
      </w:r>
      <w:proofErr w:type="spellEnd"/>
      <w:r w:rsidR="00CC3148">
        <w:rPr>
          <w:rFonts w:ascii="Times New Roman"/>
          <w:snapToGrid w:val="0"/>
          <w:kern w:val="0"/>
          <w:sz w:val="22"/>
          <w:szCs w:val="22"/>
          <w:lang w:val="en-GB"/>
        </w:rPr>
        <w:t>.</w:t>
      </w:r>
    </w:p>
    <w:bookmarkEnd w:id="0"/>
    <w:bookmarkEnd w:id="1"/>
    <w:p w14:paraId="120D2891" w14:textId="77777777" w:rsidR="00597774" w:rsidRPr="00597774" w:rsidRDefault="00597774" w:rsidP="00597774">
      <w:pPr>
        <w:pStyle w:val="LGTdoc1"/>
        <w:spacing w:beforeLines="0" w:before="120" w:after="220" w:afterAutospacing="0"/>
        <w:rPr>
          <w:b w:val="0"/>
          <w:sz w:val="22"/>
          <w:szCs w:val="22"/>
        </w:rPr>
      </w:pPr>
    </w:p>
    <w:p w14:paraId="1A98B8A8" w14:textId="3012D1E4" w:rsidR="004E6768" w:rsidRDefault="008E62A9"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Design options</w:t>
      </w:r>
    </w:p>
    <w:p w14:paraId="3AD3D0BD" w14:textId="7F26628A" w:rsidR="002B7F75" w:rsidRPr="002B7F75" w:rsidRDefault="002B7F75" w:rsidP="002B7F75">
      <w:pPr>
        <w:pStyle w:val="LGTdoc1"/>
        <w:spacing w:beforeLines="0" w:before="120" w:after="220" w:afterAutospacing="0"/>
        <w:rPr>
          <w:b w:val="0"/>
          <w:sz w:val="22"/>
          <w:szCs w:val="22"/>
        </w:rPr>
      </w:pPr>
      <w:r>
        <w:rPr>
          <w:b w:val="0"/>
          <w:sz w:val="22"/>
          <w:szCs w:val="22"/>
        </w:rPr>
        <w:t xml:space="preserve">Legacy LTE MBSFN </w:t>
      </w:r>
      <w:proofErr w:type="spellStart"/>
      <w:r>
        <w:rPr>
          <w:b w:val="0"/>
          <w:sz w:val="22"/>
          <w:szCs w:val="22"/>
        </w:rPr>
        <w:t>subframes</w:t>
      </w:r>
      <w:proofErr w:type="spellEnd"/>
      <w:r>
        <w:rPr>
          <w:b w:val="0"/>
          <w:sz w:val="22"/>
          <w:szCs w:val="22"/>
        </w:rPr>
        <w:t xml:space="preserve"> support a cyclic prefix up to 33.3us. While this CP accommodates most of the propagation delay and multipath in a typical cellular scenario, it is not enough to cover the propagation delay in rural areas with large inter-site distance (e.g. 15km). We present next some design options for longer CP and subcarrier spacing to allow for SFN operation in large cells while at the same time keeping a reasonable overhead</w:t>
      </w:r>
    </w:p>
    <w:p w14:paraId="00A3A241" w14:textId="56811BAD" w:rsidR="002B7F75" w:rsidRDefault="002B7F75" w:rsidP="002B7F75">
      <w:pPr>
        <w:pStyle w:val="LGTdoc1"/>
        <w:numPr>
          <w:ilvl w:val="1"/>
          <w:numId w:val="3"/>
        </w:numPr>
        <w:spacing w:beforeLines="0" w:before="120" w:after="220" w:afterAutospacing="0"/>
        <w:rPr>
          <w:rFonts w:ascii="Arial" w:hAnsi="Arial" w:cs="Arial"/>
          <w:lang w:val="en-US"/>
        </w:rPr>
      </w:pPr>
      <w:r>
        <w:rPr>
          <w:rFonts w:ascii="Arial" w:hAnsi="Arial" w:cs="Arial"/>
          <w:lang w:val="en-US"/>
        </w:rPr>
        <w:t>66.6us CP</w:t>
      </w:r>
    </w:p>
    <w:p w14:paraId="2E3ECFB3" w14:textId="1FF1C224" w:rsidR="002B7F75" w:rsidRDefault="002B7F75" w:rsidP="002B7F75">
      <w:pPr>
        <w:pStyle w:val="LGTdoc1"/>
        <w:spacing w:beforeLines="0" w:before="120" w:after="220" w:afterAutospacing="0"/>
        <w:ind w:left="90"/>
        <w:rPr>
          <w:b w:val="0"/>
          <w:sz w:val="22"/>
          <w:szCs w:val="22"/>
        </w:rPr>
      </w:pPr>
      <w:r>
        <w:rPr>
          <w:b w:val="0"/>
          <w:sz w:val="22"/>
          <w:szCs w:val="22"/>
        </w:rPr>
        <w:t xml:space="preserve">The numerology for 66.6us can be </w:t>
      </w:r>
      <w:r w:rsidR="00450E77">
        <w:rPr>
          <w:b w:val="0"/>
          <w:sz w:val="22"/>
          <w:szCs w:val="22"/>
        </w:rPr>
        <w:t xml:space="preserve">obtained by extending the basic </w:t>
      </w:r>
      <w:proofErr w:type="gramStart"/>
      <w:r w:rsidR="00450E77">
        <w:rPr>
          <w:b w:val="0"/>
          <w:sz w:val="22"/>
          <w:szCs w:val="22"/>
        </w:rPr>
        <w:t>15kHz</w:t>
      </w:r>
      <w:proofErr w:type="gramEnd"/>
      <w:r w:rsidR="00450E77">
        <w:rPr>
          <w:b w:val="0"/>
          <w:sz w:val="22"/>
          <w:szCs w:val="22"/>
        </w:rPr>
        <w:t xml:space="preserve"> tone spacing ECP by a factor of 4. The new subcarrier spacing would be </w:t>
      </w:r>
      <w:proofErr w:type="gramStart"/>
      <w:r w:rsidR="00450E77">
        <w:rPr>
          <w:b w:val="0"/>
          <w:sz w:val="22"/>
          <w:szCs w:val="22"/>
        </w:rPr>
        <w:t>3.75kHz</w:t>
      </w:r>
      <w:proofErr w:type="gramEnd"/>
      <w:r w:rsidR="00450E77">
        <w:rPr>
          <w:b w:val="0"/>
          <w:sz w:val="22"/>
          <w:szCs w:val="22"/>
        </w:rPr>
        <w:t xml:space="preserve">, with 3 OFDM symbols per </w:t>
      </w:r>
      <w:proofErr w:type="spellStart"/>
      <w:r w:rsidR="00450E77">
        <w:rPr>
          <w:b w:val="0"/>
          <w:sz w:val="22"/>
          <w:szCs w:val="22"/>
        </w:rPr>
        <w:t>subframe</w:t>
      </w:r>
      <w:proofErr w:type="spellEnd"/>
      <w:r w:rsidR="00450E77">
        <w:rPr>
          <w:b w:val="0"/>
          <w:sz w:val="22"/>
          <w:szCs w:val="22"/>
        </w:rPr>
        <w:t>.</w:t>
      </w:r>
    </w:p>
    <w:p w14:paraId="15E226A8" w14:textId="77777777" w:rsidR="00450E77" w:rsidRDefault="00450E77" w:rsidP="002B7F75">
      <w:pPr>
        <w:pStyle w:val="LGTdoc1"/>
        <w:spacing w:beforeLines="0" w:before="120" w:after="220" w:afterAutospacing="0"/>
        <w:ind w:left="90"/>
        <w:rPr>
          <w:b w:val="0"/>
          <w:sz w:val="22"/>
          <w:szCs w:val="22"/>
        </w:rPr>
      </w:pPr>
    </w:p>
    <w:p w14:paraId="2EC8683A" w14:textId="77777777" w:rsidR="00450E77" w:rsidRDefault="00450E77" w:rsidP="00450E77">
      <w:pPr>
        <w:pStyle w:val="LGTdoc1"/>
        <w:keepNext/>
        <w:spacing w:beforeLines="0" w:before="120" w:after="220" w:afterAutospacing="0"/>
        <w:ind w:left="90"/>
        <w:jc w:val="center"/>
      </w:pPr>
      <w:r w:rsidRPr="00450E77">
        <w:rPr>
          <w:b w:val="0"/>
          <w:noProof/>
          <w:sz w:val="22"/>
          <w:szCs w:val="22"/>
          <w:lang w:val="en-US" w:eastAsia="en-US"/>
        </w:rPr>
        <w:drawing>
          <wp:inline distT="0" distB="0" distL="0" distR="0" wp14:anchorId="642C2500" wp14:editId="70ED155E">
            <wp:extent cx="4182086" cy="3010281"/>
            <wp:effectExtent l="0" t="0" r="952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4183608" cy="3011377"/>
                    </a:xfrm>
                    <a:prstGeom prst="rect">
                      <a:avLst/>
                    </a:prstGeom>
                  </pic:spPr>
                </pic:pic>
              </a:graphicData>
            </a:graphic>
          </wp:inline>
        </w:drawing>
      </w:r>
    </w:p>
    <w:p w14:paraId="18B1A105" w14:textId="31650CD1" w:rsidR="00450E77" w:rsidRDefault="00450E77" w:rsidP="00450E77">
      <w:pPr>
        <w:pStyle w:val="Caption"/>
        <w:jc w:val="center"/>
        <w:rPr>
          <w:b w:val="0"/>
          <w:sz w:val="22"/>
          <w:szCs w:val="22"/>
        </w:rPr>
      </w:pPr>
      <w:r>
        <w:t xml:space="preserve">Figure </w:t>
      </w:r>
      <w:r>
        <w:fldChar w:fldCharType="begin"/>
      </w:r>
      <w:r>
        <w:instrText xml:space="preserve"> SEQ Figure \* ARABIC </w:instrText>
      </w:r>
      <w:r>
        <w:fldChar w:fldCharType="separate"/>
      </w:r>
      <w:r w:rsidR="00F853C4">
        <w:rPr>
          <w:noProof/>
        </w:rPr>
        <w:t>1</w:t>
      </w:r>
      <w:r>
        <w:fldChar w:fldCharType="end"/>
      </w:r>
      <w:r>
        <w:t xml:space="preserve"> Numerologies of 15, 7.5 and </w:t>
      </w:r>
      <w:proofErr w:type="gramStart"/>
      <w:r>
        <w:t>3.75kHz</w:t>
      </w:r>
      <w:proofErr w:type="gramEnd"/>
      <w:r>
        <w:t>, corresponding to CP lengths of 16.6, 33.3 and 66.6us.</w:t>
      </w:r>
    </w:p>
    <w:p w14:paraId="717AEA4C" w14:textId="77777777" w:rsidR="00450E77" w:rsidRDefault="00450E77" w:rsidP="002B7F75">
      <w:pPr>
        <w:pStyle w:val="LGTdoc1"/>
        <w:spacing w:beforeLines="0" w:before="120" w:after="220" w:afterAutospacing="0"/>
        <w:ind w:left="90"/>
        <w:rPr>
          <w:rFonts w:ascii="Arial" w:hAnsi="Arial" w:cs="Arial"/>
          <w:lang w:val="en-US"/>
        </w:rPr>
      </w:pPr>
    </w:p>
    <w:p w14:paraId="0F6546EE" w14:textId="5FCD930A" w:rsidR="002B7F75" w:rsidRDefault="002B7F75" w:rsidP="002B7F75">
      <w:pPr>
        <w:pStyle w:val="LGTdoc1"/>
        <w:numPr>
          <w:ilvl w:val="1"/>
          <w:numId w:val="3"/>
        </w:numPr>
        <w:spacing w:beforeLines="0" w:before="120" w:after="220" w:afterAutospacing="0"/>
        <w:rPr>
          <w:rFonts w:ascii="Arial" w:hAnsi="Arial" w:cs="Arial"/>
          <w:lang w:val="en-US"/>
        </w:rPr>
      </w:pPr>
      <w:r>
        <w:rPr>
          <w:rFonts w:ascii="Arial" w:hAnsi="Arial" w:cs="Arial"/>
          <w:lang w:val="en-US"/>
        </w:rPr>
        <w:lastRenderedPageBreak/>
        <w:t>133us CP</w:t>
      </w:r>
    </w:p>
    <w:p w14:paraId="2AA24019" w14:textId="3257C32A" w:rsidR="00450E77" w:rsidRDefault="00450E77" w:rsidP="00450E77">
      <w:pPr>
        <w:pStyle w:val="LGTdoc1"/>
        <w:spacing w:beforeLines="0" w:before="120" w:after="220" w:afterAutospacing="0"/>
        <w:ind w:left="90"/>
        <w:rPr>
          <w:b w:val="0"/>
          <w:sz w:val="22"/>
          <w:szCs w:val="22"/>
        </w:rPr>
      </w:pPr>
      <w:r>
        <w:rPr>
          <w:b w:val="0"/>
          <w:sz w:val="22"/>
          <w:szCs w:val="22"/>
        </w:rPr>
        <w:t xml:space="preserve">A CP length of 133us can be obtained by scaling by a factor of two the 66.6us one. One drawback of this numerology is that it is not aligned with the </w:t>
      </w:r>
      <w:proofErr w:type="spellStart"/>
      <w:r>
        <w:rPr>
          <w:b w:val="0"/>
          <w:sz w:val="22"/>
          <w:szCs w:val="22"/>
        </w:rPr>
        <w:t>subframe</w:t>
      </w:r>
      <w:proofErr w:type="spellEnd"/>
      <w:r>
        <w:rPr>
          <w:b w:val="0"/>
          <w:sz w:val="22"/>
          <w:szCs w:val="22"/>
        </w:rPr>
        <w:t xml:space="preserve"> boundary, but with a 2ms boundary</w:t>
      </w:r>
      <w:r w:rsidR="00CF632E">
        <w:rPr>
          <w:b w:val="0"/>
          <w:sz w:val="22"/>
          <w:szCs w:val="22"/>
        </w:rPr>
        <w:t xml:space="preserve"> instead</w:t>
      </w:r>
      <w:r>
        <w:rPr>
          <w:b w:val="0"/>
          <w:sz w:val="22"/>
          <w:szCs w:val="22"/>
        </w:rPr>
        <w:t xml:space="preserve">. Thus, the 133us CP numerology can only be used if the MBSFN </w:t>
      </w:r>
      <w:proofErr w:type="spellStart"/>
      <w:r>
        <w:rPr>
          <w:b w:val="0"/>
          <w:sz w:val="22"/>
          <w:szCs w:val="22"/>
        </w:rPr>
        <w:t>subframes</w:t>
      </w:r>
      <w:proofErr w:type="spellEnd"/>
      <w:r>
        <w:rPr>
          <w:b w:val="0"/>
          <w:sz w:val="22"/>
          <w:szCs w:val="22"/>
        </w:rPr>
        <w:t xml:space="preserve"> are assigned in pairs.</w:t>
      </w:r>
    </w:p>
    <w:p w14:paraId="13D7B1DB" w14:textId="77777777" w:rsidR="00450E77" w:rsidRDefault="00450E77" w:rsidP="00450E77">
      <w:pPr>
        <w:pStyle w:val="LGTdoc1"/>
        <w:spacing w:beforeLines="0" w:before="120" w:after="220" w:afterAutospacing="0"/>
        <w:ind w:left="90"/>
        <w:rPr>
          <w:rFonts w:ascii="Arial" w:hAnsi="Arial" w:cs="Arial"/>
          <w:lang w:val="en-US"/>
        </w:rPr>
      </w:pPr>
    </w:p>
    <w:p w14:paraId="3CA5A62E" w14:textId="61D472A3" w:rsidR="002B7F75" w:rsidRDefault="002B7F75" w:rsidP="002B7F75">
      <w:pPr>
        <w:pStyle w:val="LGTdoc1"/>
        <w:numPr>
          <w:ilvl w:val="1"/>
          <w:numId w:val="3"/>
        </w:numPr>
        <w:spacing w:beforeLines="0" w:before="120" w:after="220" w:afterAutospacing="0"/>
        <w:rPr>
          <w:rFonts w:ascii="Arial" w:hAnsi="Arial" w:cs="Arial"/>
          <w:lang w:val="en-US"/>
        </w:rPr>
      </w:pPr>
      <w:r>
        <w:rPr>
          <w:rFonts w:ascii="Arial" w:hAnsi="Arial" w:cs="Arial"/>
          <w:lang w:val="en-US"/>
        </w:rPr>
        <w:t>200us CP</w:t>
      </w:r>
    </w:p>
    <w:p w14:paraId="31081057" w14:textId="77777777" w:rsidR="00AC1A31" w:rsidRDefault="00450E77" w:rsidP="00AC1A31">
      <w:pPr>
        <w:pStyle w:val="LGTdoc1"/>
        <w:spacing w:beforeLines="0" w:before="120" w:after="220" w:afterAutospacing="0"/>
        <w:rPr>
          <w:b w:val="0"/>
          <w:sz w:val="22"/>
          <w:szCs w:val="22"/>
        </w:rPr>
      </w:pPr>
      <w:r w:rsidRPr="00450E77">
        <w:rPr>
          <w:b w:val="0"/>
          <w:sz w:val="22"/>
          <w:szCs w:val="22"/>
        </w:rPr>
        <w:t>The 200us numerology is obtained by multiplying the 66.6us</w:t>
      </w:r>
      <w:r>
        <w:rPr>
          <w:b w:val="0"/>
          <w:sz w:val="22"/>
          <w:szCs w:val="22"/>
        </w:rPr>
        <w:t xml:space="preserve"> by a factor of 3. In this case, there is a single OFDM symbol in a 1ms </w:t>
      </w:r>
      <w:proofErr w:type="spellStart"/>
      <w:r>
        <w:rPr>
          <w:b w:val="0"/>
          <w:sz w:val="22"/>
          <w:szCs w:val="22"/>
        </w:rPr>
        <w:t>subframe</w:t>
      </w:r>
      <w:proofErr w:type="spellEnd"/>
      <w:r>
        <w:rPr>
          <w:b w:val="0"/>
          <w:sz w:val="22"/>
          <w:szCs w:val="22"/>
        </w:rPr>
        <w:t xml:space="preserve">. The corresponding numerology is </w:t>
      </w:r>
      <w:proofErr w:type="gramStart"/>
      <w:r>
        <w:rPr>
          <w:b w:val="0"/>
          <w:sz w:val="22"/>
          <w:szCs w:val="22"/>
        </w:rPr>
        <w:t>1.25kHz</w:t>
      </w:r>
      <w:proofErr w:type="gramEnd"/>
      <w:r>
        <w:rPr>
          <w:b w:val="0"/>
          <w:sz w:val="22"/>
          <w:szCs w:val="22"/>
        </w:rPr>
        <w:t xml:space="preserve"> subcarrier spacing, and 144 REs per RB.</w:t>
      </w:r>
    </w:p>
    <w:p w14:paraId="3ABC445E" w14:textId="77777777" w:rsidR="00B73B89" w:rsidRDefault="00B73B89" w:rsidP="00AC1A31">
      <w:pPr>
        <w:pStyle w:val="LGTdoc1"/>
        <w:spacing w:beforeLines="0" w:before="120" w:after="220" w:afterAutospacing="0"/>
        <w:rPr>
          <w:b w:val="0"/>
          <w:sz w:val="22"/>
          <w:szCs w:val="22"/>
        </w:rPr>
      </w:pPr>
    </w:p>
    <w:p w14:paraId="27385F55" w14:textId="3015431C" w:rsidR="00B73B89" w:rsidRDefault="00B73B89" w:rsidP="00B73B89">
      <w:pPr>
        <w:pStyle w:val="LGTdoc1"/>
        <w:numPr>
          <w:ilvl w:val="1"/>
          <w:numId w:val="3"/>
        </w:numPr>
        <w:spacing w:beforeLines="0" w:before="120" w:after="220" w:afterAutospacing="0"/>
        <w:rPr>
          <w:rFonts w:ascii="Arial" w:hAnsi="Arial" w:cs="Arial"/>
          <w:lang w:val="en-US"/>
        </w:rPr>
      </w:pPr>
      <w:r>
        <w:rPr>
          <w:rFonts w:ascii="Arial" w:hAnsi="Arial" w:cs="Arial"/>
          <w:lang w:val="en-US"/>
        </w:rPr>
        <w:t>266us CP</w:t>
      </w:r>
    </w:p>
    <w:p w14:paraId="38AE0E7B" w14:textId="274592BA" w:rsidR="00B73B89" w:rsidRDefault="00B73B89" w:rsidP="00B73B89">
      <w:pPr>
        <w:pStyle w:val="LGTdoc1"/>
        <w:spacing w:beforeLines="0" w:before="120" w:after="220" w:afterAutospacing="0"/>
        <w:rPr>
          <w:b w:val="0"/>
          <w:sz w:val="22"/>
          <w:szCs w:val="22"/>
        </w:rPr>
      </w:pPr>
      <w:r w:rsidRPr="00450E77">
        <w:rPr>
          <w:b w:val="0"/>
          <w:sz w:val="22"/>
          <w:szCs w:val="22"/>
        </w:rPr>
        <w:t>The 2</w:t>
      </w:r>
      <w:r w:rsidR="00CF632E">
        <w:rPr>
          <w:b w:val="0"/>
          <w:sz w:val="22"/>
          <w:szCs w:val="22"/>
        </w:rPr>
        <w:t>66</w:t>
      </w:r>
      <w:r w:rsidRPr="00450E77">
        <w:rPr>
          <w:b w:val="0"/>
          <w:sz w:val="22"/>
          <w:szCs w:val="22"/>
        </w:rPr>
        <w:t xml:space="preserve">us numerology is obtained by multiplying the </w:t>
      </w:r>
      <w:r>
        <w:rPr>
          <w:b w:val="0"/>
          <w:sz w:val="22"/>
          <w:szCs w:val="22"/>
        </w:rPr>
        <w:t>133us numerology by a factor of 2. A major drawback of this approach is that one OFDM symbol occupies 4ms, so it is not aligned with the radio frame boundary.</w:t>
      </w:r>
    </w:p>
    <w:p w14:paraId="37E39DB8" w14:textId="236FD25D" w:rsidR="00AC1A31" w:rsidRDefault="00AC1A31" w:rsidP="00AC1A31">
      <w:pPr>
        <w:pStyle w:val="LGTdoc1"/>
        <w:spacing w:beforeLines="0" w:before="120" w:after="220" w:afterAutospacing="0"/>
        <w:rPr>
          <w:b w:val="0"/>
          <w:sz w:val="22"/>
          <w:szCs w:val="22"/>
        </w:rPr>
      </w:pPr>
      <w:r>
        <w:rPr>
          <w:sz w:val="22"/>
          <w:szCs w:val="22"/>
          <w:u w:val="single"/>
        </w:rPr>
        <w:t>Observation</w:t>
      </w:r>
      <w:r w:rsidRPr="00450E77">
        <w:rPr>
          <w:sz w:val="22"/>
          <w:szCs w:val="22"/>
          <w:u w:val="single"/>
        </w:rPr>
        <w:t xml:space="preserve"> 1:</w:t>
      </w:r>
      <w:r>
        <w:rPr>
          <w:b w:val="0"/>
          <w:sz w:val="22"/>
          <w:szCs w:val="22"/>
        </w:rPr>
        <w:t xml:space="preserve"> CP lengths of </w:t>
      </w:r>
      <w:r w:rsidR="00B73B89">
        <w:rPr>
          <w:b w:val="0"/>
          <w:sz w:val="22"/>
          <w:szCs w:val="22"/>
        </w:rPr>
        <w:t xml:space="preserve">66.6us, 133us, </w:t>
      </w:r>
      <w:r>
        <w:rPr>
          <w:b w:val="0"/>
          <w:sz w:val="22"/>
          <w:szCs w:val="22"/>
        </w:rPr>
        <w:t>200us</w:t>
      </w:r>
      <w:r w:rsidR="00B24B1B">
        <w:rPr>
          <w:b w:val="0"/>
          <w:sz w:val="22"/>
          <w:szCs w:val="22"/>
        </w:rPr>
        <w:t xml:space="preserve"> and 2</w:t>
      </w:r>
      <w:r w:rsidR="00B73B89">
        <w:rPr>
          <w:b w:val="0"/>
          <w:sz w:val="22"/>
          <w:szCs w:val="22"/>
        </w:rPr>
        <w:t>66us</w:t>
      </w:r>
      <w:r>
        <w:rPr>
          <w:b w:val="0"/>
          <w:sz w:val="22"/>
          <w:szCs w:val="22"/>
        </w:rPr>
        <w:t xml:space="preserve"> can be obtained by scaling ECP 15kHz numerology by a factor of </w:t>
      </w:r>
      <w:r w:rsidR="00B73B89">
        <w:rPr>
          <w:b w:val="0"/>
          <w:sz w:val="22"/>
          <w:szCs w:val="22"/>
        </w:rPr>
        <w:t xml:space="preserve">4, 8, </w:t>
      </w:r>
      <w:r>
        <w:rPr>
          <w:b w:val="0"/>
          <w:sz w:val="22"/>
          <w:szCs w:val="22"/>
        </w:rPr>
        <w:t>12</w:t>
      </w:r>
      <w:r w:rsidR="00B73B89">
        <w:rPr>
          <w:b w:val="0"/>
          <w:sz w:val="22"/>
          <w:szCs w:val="22"/>
        </w:rPr>
        <w:t xml:space="preserve"> and 16</w:t>
      </w:r>
      <w:r>
        <w:rPr>
          <w:b w:val="0"/>
          <w:sz w:val="22"/>
          <w:szCs w:val="22"/>
        </w:rPr>
        <w:t xml:space="preserve"> respectively.</w:t>
      </w:r>
    </w:p>
    <w:p w14:paraId="5FAB8A2C" w14:textId="77777777" w:rsidR="00276CED" w:rsidRDefault="00276CED" w:rsidP="00AC1A31">
      <w:pPr>
        <w:pStyle w:val="LGTdoc1"/>
        <w:spacing w:beforeLines="0" w:before="120" w:after="220" w:afterAutospacing="0"/>
        <w:rPr>
          <w:b w:val="0"/>
          <w:sz w:val="22"/>
          <w:szCs w:val="22"/>
        </w:rPr>
      </w:pPr>
    </w:p>
    <w:p w14:paraId="4EEDDEE8" w14:textId="0E78229C" w:rsidR="00B73B89" w:rsidRDefault="00B73B89" w:rsidP="0062171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62171A">
        <w:t>Summary of different numerologies</w:t>
      </w:r>
    </w:p>
    <w:tbl>
      <w:tblPr>
        <w:tblStyle w:val="TableGrid"/>
        <w:tblW w:w="0" w:type="auto"/>
        <w:jc w:val="center"/>
        <w:tblLook w:val="04A0" w:firstRow="1" w:lastRow="0" w:firstColumn="1" w:lastColumn="0" w:noHBand="0" w:noVBand="1"/>
      </w:tblPr>
      <w:tblGrid>
        <w:gridCol w:w="1090"/>
        <w:gridCol w:w="1860"/>
        <w:gridCol w:w="2679"/>
        <w:gridCol w:w="2789"/>
      </w:tblGrid>
      <w:tr w:rsidR="00B73B89" w14:paraId="10DFA02E" w14:textId="2939BAED" w:rsidTr="00B73B89">
        <w:trPr>
          <w:jc w:val="center"/>
        </w:trPr>
        <w:tc>
          <w:tcPr>
            <w:tcW w:w="0" w:type="auto"/>
          </w:tcPr>
          <w:p w14:paraId="457C17C6" w14:textId="5DAA9D1D" w:rsidR="00B73B89" w:rsidRDefault="00B73B89" w:rsidP="00AC1A31">
            <w:pPr>
              <w:pStyle w:val="LGTdoc1"/>
              <w:spacing w:beforeLines="0" w:before="120" w:after="220" w:afterAutospacing="0"/>
              <w:rPr>
                <w:b w:val="0"/>
                <w:sz w:val="22"/>
                <w:szCs w:val="22"/>
              </w:rPr>
            </w:pPr>
            <w:r>
              <w:rPr>
                <w:b w:val="0"/>
                <w:sz w:val="22"/>
                <w:szCs w:val="22"/>
              </w:rPr>
              <w:t>CP length</w:t>
            </w:r>
          </w:p>
        </w:tc>
        <w:tc>
          <w:tcPr>
            <w:tcW w:w="0" w:type="auto"/>
          </w:tcPr>
          <w:p w14:paraId="1AE6CF39" w14:textId="249B8CDF" w:rsidR="00B73B89" w:rsidRDefault="00B73B89" w:rsidP="00AC1A31">
            <w:pPr>
              <w:pStyle w:val="LGTdoc1"/>
              <w:spacing w:beforeLines="0" w:before="120" w:after="220" w:afterAutospacing="0"/>
              <w:rPr>
                <w:b w:val="0"/>
                <w:sz w:val="22"/>
                <w:szCs w:val="22"/>
              </w:rPr>
            </w:pPr>
            <w:r>
              <w:rPr>
                <w:b w:val="0"/>
                <w:sz w:val="22"/>
                <w:szCs w:val="22"/>
              </w:rPr>
              <w:t>Subcarrier spacing</w:t>
            </w:r>
          </w:p>
        </w:tc>
        <w:tc>
          <w:tcPr>
            <w:tcW w:w="0" w:type="auto"/>
          </w:tcPr>
          <w:p w14:paraId="23A876BB" w14:textId="7E780AAB" w:rsidR="00B73B89" w:rsidRDefault="00B73B89" w:rsidP="00AC1A31">
            <w:pPr>
              <w:pStyle w:val="LGTdoc1"/>
              <w:spacing w:beforeLines="0" w:before="120" w:after="220" w:afterAutospacing="0"/>
              <w:rPr>
                <w:b w:val="0"/>
                <w:sz w:val="22"/>
                <w:szCs w:val="22"/>
              </w:rPr>
            </w:pPr>
            <w:r>
              <w:rPr>
                <w:b w:val="0"/>
                <w:sz w:val="22"/>
                <w:szCs w:val="22"/>
              </w:rPr>
              <w:t>Aligned with 1ms boundary</w:t>
            </w:r>
          </w:p>
        </w:tc>
        <w:tc>
          <w:tcPr>
            <w:tcW w:w="0" w:type="auto"/>
          </w:tcPr>
          <w:p w14:paraId="26C4DE8E" w14:textId="7850A27D" w:rsidR="00B73B89" w:rsidRDefault="00B73B89" w:rsidP="00AC1A31">
            <w:pPr>
              <w:pStyle w:val="LGTdoc1"/>
              <w:spacing w:beforeLines="0" w:before="120" w:after="220" w:afterAutospacing="0"/>
              <w:rPr>
                <w:b w:val="0"/>
                <w:sz w:val="22"/>
                <w:szCs w:val="22"/>
              </w:rPr>
            </w:pPr>
            <w:r>
              <w:rPr>
                <w:b w:val="0"/>
                <w:sz w:val="22"/>
                <w:szCs w:val="22"/>
              </w:rPr>
              <w:t>Aligned with 10ms boundary</w:t>
            </w:r>
          </w:p>
        </w:tc>
      </w:tr>
      <w:tr w:rsidR="00B73B89" w14:paraId="3533A50C" w14:textId="699AB9DC" w:rsidTr="00B73B89">
        <w:trPr>
          <w:jc w:val="center"/>
        </w:trPr>
        <w:tc>
          <w:tcPr>
            <w:tcW w:w="0" w:type="auto"/>
          </w:tcPr>
          <w:p w14:paraId="6E10B9AF" w14:textId="48769BC2" w:rsidR="00B73B89" w:rsidRDefault="00B73B89" w:rsidP="00AC1A31">
            <w:pPr>
              <w:pStyle w:val="LGTdoc1"/>
              <w:spacing w:beforeLines="0" w:before="120" w:after="220" w:afterAutospacing="0"/>
              <w:rPr>
                <w:b w:val="0"/>
                <w:sz w:val="22"/>
                <w:szCs w:val="22"/>
              </w:rPr>
            </w:pPr>
            <w:r>
              <w:rPr>
                <w:b w:val="0"/>
                <w:sz w:val="22"/>
                <w:szCs w:val="22"/>
              </w:rPr>
              <w:t>66.6us</w:t>
            </w:r>
          </w:p>
        </w:tc>
        <w:tc>
          <w:tcPr>
            <w:tcW w:w="0" w:type="auto"/>
          </w:tcPr>
          <w:p w14:paraId="1240E087" w14:textId="0FD3115B" w:rsidR="00B73B89" w:rsidRDefault="00B73B89" w:rsidP="00AC1A31">
            <w:pPr>
              <w:pStyle w:val="LGTdoc1"/>
              <w:spacing w:beforeLines="0" w:before="120" w:after="220" w:afterAutospacing="0"/>
              <w:rPr>
                <w:b w:val="0"/>
                <w:sz w:val="22"/>
                <w:szCs w:val="22"/>
              </w:rPr>
            </w:pPr>
            <w:r>
              <w:rPr>
                <w:b w:val="0"/>
                <w:sz w:val="22"/>
                <w:szCs w:val="22"/>
              </w:rPr>
              <w:t>3.75kHz</w:t>
            </w:r>
          </w:p>
        </w:tc>
        <w:tc>
          <w:tcPr>
            <w:tcW w:w="0" w:type="auto"/>
          </w:tcPr>
          <w:p w14:paraId="5DF25855" w14:textId="5A17F822" w:rsidR="00B73B89" w:rsidRDefault="00B73B89" w:rsidP="00AC1A31">
            <w:pPr>
              <w:pStyle w:val="LGTdoc1"/>
              <w:spacing w:beforeLines="0" w:before="120" w:after="220" w:afterAutospacing="0"/>
              <w:rPr>
                <w:b w:val="0"/>
                <w:sz w:val="22"/>
                <w:szCs w:val="22"/>
              </w:rPr>
            </w:pPr>
            <w:r>
              <w:rPr>
                <w:b w:val="0"/>
                <w:sz w:val="22"/>
                <w:szCs w:val="22"/>
              </w:rPr>
              <w:t>Yes</w:t>
            </w:r>
          </w:p>
        </w:tc>
        <w:tc>
          <w:tcPr>
            <w:tcW w:w="0" w:type="auto"/>
          </w:tcPr>
          <w:p w14:paraId="6FD929AD" w14:textId="2115107F" w:rsidR="00B73B89" w:rsidRDefault="00B73B89" w:rsidP="00AC1A31">
            <w:pPr>
              <w:pStyle w:val="LGTdoc1"/>
              <w:spacing w:beforeLines="0" w:before="120" w:after="220" w:afterAutospacing="0"/>
              <w:rPr>
                <w:b w:val="0"/>
                <w:sz w:val="22"/>
                <w:szCs w:val="22"/>
              </w:rPr>
            </w:pPr>
            <w:r>
              <w:rPr>
                <w:b w:val="0"/>
                <w:sz w:val="22"/>
                <w:szCs w:val="22"/>
              </w:rPr>
              <w:t>Yes</w:t>
            </w:r>
          </w:p>
        </w:tc>
      </w:tr>
      <w:tr w:rsidR="00B73B89" w14:paraId="7B001777" w14:textId="7920BC3E" w:rsidTr="00B73B89">
        <w:trPr>
          <w:jc w:val="center"/>
        </w:trPr>
        <w:tc>
          <w:tcPr>
            <w:tcW w:w="0" w:type="auto"/>
          </w:tcPr>
          <w:p w14:paraId="194F93FB" w14:textId="3A5D77F6" w:rsidR="00B73B89" w:rsidRDefault="00B73B89" w:rsidP="00AC1A31">
            <w:pPr>
              <w:pStyle w:val="LGTdoc1"/>
              <w:spacing w:beforeLines="0" w:before="120" w:after="220" w:afterAutospacing="0"/>
              <w:rPr>
                <w:b w:val="0"/>
                <w:sz w:val="22"/>
                <w:szCs w:val="22"/>
              </w:rPr>
            </w:pPr>
            <w:r>
              <w:rPr>
                <w:b w:val="0"/>
                <w:sz w:val="22"/>
                <w:szCs w:val="22"/>
              </w:rPr>
              <w:t>133us</w:t>
            </w:r>
          </w:p>
        </w:tc>
        <w:tc>
          <w:tcPr>
            <w:tcW w:w="0" w:type="auto"/>
          </w:tcPr>
          <w:p w14:paraId="402C219E" w14:textId="2F4D8A81" w:rsidR="00B73B89" w:rsidRDefault="00B73B89" w:rsidP="00AC1A31">
            <w:pPr>
              <w:pStyle w:val="LGTdoc1"/>
              <w:spacing w:beforeLines="0" w:before="120" w:after="220" w:afterAutospacing="0"/>
              <w:rPr>
                <w:b w:val="0"/>
                <w:sz w:val="22"/>
                <w:szCs w:val="22"/>
              </w:rPr>
            </w:pPr>
            <w:r>
              <w:rPr>
                <w:b w:val="0"/>
                <w:sz w:val="22"/>
                <w:szCs w:val="22"/>
              </w:rPr>
              <w:t>1.875kHz</w:t>
            </w:r>
          </w:p>
        </w:tc>
        <w:tc>
          <w:tcPr>
            <w:tcW w:w="0" w:type="auto"/>
          </w:tcPr>
          <w:p w14:paraId="78128EE0" w14:textId="64970DDC" w:rsidR="00B73B89" w:rsidRDefault="00B73B89" w:rsidP="00AC1A31">
            <w:pPr>
              <w:pStyle w:val="LGTdoc1"/>
              <w:spacing w:beforeLines="0" w:before="120" w:after="220" w:afterAutospacing="0"/>
              <w:rPr>
                <w:b w:val="0"/>
                <w:sz w:val="22"/>
                <w:szCs w:val="22"/>
              </w:rPr>
            </w:pPr>
            <w:r>
              <w:rPr>
                <w:b w:val="0"/>
                <w:sz w:val="22"/>
                <w:szCs w:val="22"/>
              </w:rPr>
              <w:t>No</w:t>
            </w:r>
          </w:p>
        </w:tc>
        <w:tc>
          <w:tcPr>
            <w:tcW w:w="0" w:type="auto"/>
          </w:tcPr>
          <w:p w14:paraId="77E29406" w14:textId="402690DC" w:rsidR="00B73B89" w:rsidRDefault="00B73B89" w:rsidP="00AC1A31">
            <w:pPr>
              <w:pStyle w:val="LGTdoc1"/>
              <w:spacing w:beforeLines="0" w:before="120" w:after="220" w:afterAutospacing="0"/>
              <w:rPr>
                <w:b w:val="0"/>
                <w:sz w:val="22"/>
                <w:szCs w:val="22"/>
              </w:rPr>
            </w:pPr>
            <w:r>
              <w:rPr>
                <w:b w:val="0"/>
                <w:sz w:val="22"/>
                <w:szCs w:val="22"/>
              </w:rPr>
              <w:t>Yes</w:t>
            </w:r>
          </w:p>
        </w:tc>
      </w:tr>
      <w:tr w:rsidR="00B73B89" w14:paraId="09936858" w14:textId="4A55B3F9" w:rsidTr="00B73B89">
        <w:trPr>
          <w:jc w:val="center"/>
        </w:trPr>
        <w:tc>
          <w:tcPr>
            <w:tcW w:w="0" w:type="auto"/>
          </w:tcPr>
          <w:p w14:paraId="4D91263E" w14:textId="2ECFFD86" w:rsidR="00B73B89" w:rsidRDefault="00B73B89" w:rsidP="00AC1A31">
            <w:pPr>
              <w:pStyle w:val="LGTdoc1"/>
              <w:spacing w:beforeLines="0" w:before="120" w:after="220" w:afterAutospacing="0"/>
              <w:rPr>
                <w:b w:val="0"/>
                <w:sz w:val="22"/>
                <w:szCs w:val="22"/>
              </w:rPr>
            </w:pPr>
            <w:r>
              <w:rPr>
                <w:b w:val="0"/>
                <w:sz w:val="22"/>
                <w:szCs w:val="22"/>
              </w:rPr>
              <w:t>200us</w:t>
            </w:r>
          </w:p>
        </w:tc>
        <w:tc>
          <w:tcPr>
            <w:tcW w:w="0" w:type="auto"/>
          </w:tcPr>
          <w:p w14:paraId="260125C5" w14:textId="4CC7446A" w:rsidR="00B73B89" w:rsidRDefault="00B73B89" w:rsidP="00AC1A31">
            <w:pPr>
              <w:pStyle w:val="LGTdoc1"/>
              <w:spacing w:beforeLines="0" w:before="120" w:after="220" w:afterAutospacing="0"/>
              <w:rPr>
                <w:b w:val="0"/>
                <w:sz w:val="22"/>
                <w:szCs w:val="22"/>
              </w:rPr>
            </w:pPr>
            <w:r>
              <w:rPr>
                <w:b w:val="0"/>
                <w:sz w:val="22"/>
                <w:szCs w:val="22"/>
              </w:rPr>
              <w:t>1.25kHz</w:t>
            </w:r>
          </w:p>
        </w:tc>
        <w:tc>
          <w:tcPr>
            <w:tcW w:w="0" w:type="auto"/>
          </w:tcPr>
          <w:p w14:paraId="1512B416" w14:textId="11FBA524" w:rsidR="00B73B89" w:rsidRDefault="00B73B89" w:rsidP="00AC1A31">
            <w:pPr>
              <w:pStyle w:val="LGTdoc1"/>
              <w:spacing w:beforeLines="0" w:before="120" w:after="220" w:afterAutospacing="0"/>
              <w:rPr>
                <w:b w:val="0"/>
                <w:sz w:val="22"/>
                <w:szCs w:val="22"/>
              </w:rPr>
            </w:pPr>
            <w:r>
              <w:rPr>
                <w:b w:val="0"/>
                <w:sz w:val="22"/>
                <w:szCs w:val="22"/>
              </w:rPr>
              <w:t>Yes</w:t>
            </w:r>
          </w:p>
        </w:tc>
        <w:tc>
          <w:tcPr>
            <w:tcW w:w="0" w:type="auto"/>
          </w:tcPr>
          <w:p w14:paraId="54E632CB" w14:textId="22900EA8" w:rsidR="00B73B89" w:rsidRDefault="00B73B89" w:rsidP="00AC1A31">
            <w:pPr>
              <w:pStyle w:val="LGTdoc1"/>
              <w:spacing w:beforeLines="0" w:before="120" w:after="220" w:afterAutospacing="0"/>
              <w:rPr>
                <w:b w:val="0"/>
                <w:sz w:val="22"/>
                <w:szCs w:val="22"/>
              </w:rPr>
            </w:pPr>
            <w:r>
              <w:rPr>
                <w:b w:val="0"/>
                <w:sz w:val="22"/>
                <w:szCs w:val="22"/>
              </w:rPr>
              <w:t>Yes</w:t>
            </w:r>
          </w:p>
        </w:tc>
      </w:tr>
      <w:tr w:rsidR="00B73B89" w14:paraId="49EEFBCC" w14:textId="1E377FB2" w:rsidTr="00B73B89">
        <w:trPr>
          <w:jc w:val="center"/>
        </w:trPr>
        <w:tc>
          <w:tcPr>
            <w:tcW w:w="0" w:type="auto"/>
          </w:tcPr>
          <w:p w14:paraId="77169BDB" w14:textId="7C3DB965" w:rsidR="00B73B89" w:rsidRDefault="00B73B89" w:rsidP="00AC1A31">
            <w:pPr>
              <w:pStyle w:val="LGTdoc1"/>
              <w:spacing w:beforeLines="0" w:before="120" w:after="220" w:afterAutospacing="0"/>
              <w:rPr>
                <w:b w:val="0"/>
                <w:sz w:val="22"/>
                <w:szCs w:val="22"/>
              </w:rPr>
            </w:pPr>
            <w:r>
              <w:rPr>
                <w:b w:val="0"/>
                <w:sz w:val="22"/>
                <w:szCs w:val="22"/>
              </w:rPr>
              <w:t>266us</w:t>
            </w:r>
          </w:p>
        </w:tc>
        <w:tc>
          <w:tcPr>
            <w:tcW w:w="0" w:type="auto"/>
          </w:tcPr>
          <w:p w14:paraId="1E0C4A47" w14:textId="13987046" w:rsidR="00B73B89" w:rsidRDefault="00B73B89" w:rsidP="00AC1A31">
            <w:pPr>
              <w:pStyle w:val="LGTdoc1"/>
              <w:spacing w:beforeLines="0" w:before="120" w:after="220" w:afterAutospacing="0"/>
              <w:rPr>
                <w:b w:val="0"/>
                <w:sz w:val="22"/>
                <w:szCs w:val="22"/>
              </w:rPr>
            </w:pPr>
            <w:r>
              <w:rPr>
                <w:b w:val="0"/>
                <w:sz w:val="22"/>
                <w:szCs w:val="22"/>
              </w:rPr>
              <w:t>0.9375kHz</w:t>
            </w:r>
          </w:p>
        </w:tc>
        <w:tc>
          <w:tcPr>
            <w:tcW w:w="0" w:type="auto"/>
          </w:tcPr>
          <w:p w14:paraId="588A3A64" w14:textId="7DFAFEFC" w:rsidR="00B73B89" w:rsidRDefault="00B73B89" w:rsidP="00AC1A31">
            <w:pPr>
              <w:pStyle w:val="LGTdoc1"/>
              <w:spacing w:beforeLines="0" w:before="120" w:after="220" w:afterAutospacing="0"/>
              <w:rPr>
                <w:b w:val="0"/>
                <w:sz w:val="22"/>
                <w:szCs w:val="22"/>
              </w:rPr>
            </w:pPr>
            <w:r>
              <w:rPr>
                <w:b w:val="0"/>
                <w:sz w:val="22"/>
                <w:szCs w:val="22"/>
              </w:rPr>
              <w:t>No</w:t>
            </w:r>
          </w:p>
        </w:tc>
        <w:tc>
          <w:tcPr>
            <w:tcW w:w="0" w:type="auto"/>
          </w:tcPr>
          <w:p w14:paraId="522AA35C" w14:textId="0B8F087E" w:rsidR="00B73B89" w:rsidRDefault="00B73B89" w:rsidP="00AC1A31">
            <w:pPr>
              <w:pStyle w:val="LGTdoc1"/>
              <w:spacing w:beforeLines="0" w:before="120" w:after="220" w:afterAutospacing="0"/>
              <w:rPr>
                <w:b w:val="0"/>
                <w:sz w:val="22"/>
                <w:szCs w:val="22"/>
              </w:rPr>
            </w:pPr>
            <w:r>
              <w:rPr>
                <w:b w:val="0"/>
                <w:sz w:val="22"/>
                <w:szCs w:val="22"/>
              </w:rPr>
              <w:t>No</w:t>
            </w:r>
          </w:p>
        </w:tc>
      </w:tr>
    </w:tbl>
    <w:p w14:paraId="74B6FF0A" w14:textId="77777777" w:rsidR="00B73B89" w:rsidRDefault="00B73B89" w:rsidP="00AC1A31">
      <w:pPr>
        <w:pStyle w:val="LGTdoc1"/>
        <w:spacing w:beforeLines="0" w:before="120" w:after="220" w:afterAutospacing="0"/>
        <w:rPr>
          <w:b w:val="0"/>
          <w:sz w:val="22"/>
          <w:szCs w:val="22"/>
        </w:rPr>
      </w:pPr>
    </w:p>
    <w:p w14:paraId="7590358D" w14:textId="262E1C6B" w:rsidR="002B7F75" w:rsidRDefault="002B7F75" w:rsidP="00B73B89">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Interaction with control region</w:t>
      </w:r>
    </w:p>
    <w:p w14:paraId="7D545842" w14:textId="344402DB" w:rsidR="00AC1A31" w:rsidRDefault="00AC1A31" w:rsidP="00AC1A31">
      <w:pPr>
        <w:pStyle w:val="LGTdoc1"/>
        <w:spacing w:beforeLines="0" w:before="120" w:after="220" w:afterAutospacing="0"/>
        <w:rPr>
          <w:b w:val="0"/>
          <w:sz w:val="22"/>
          <w:szCs w:val="22"/>
        </w:rPr>
      </w:pPr>
      <w:r>
        <w:rPr>
          <w:b w:val="0"/>
          <w:sz w:val="22"/>
          <w:szCs w:val="22"/>
        </w:rPr>
        <w:t xml:space="preserve">In current LTE specification the MBSFN numerology is defined regardless of the presence of control symbols. If the control region and MBSFN numerologies are different, then there is a fraction of the transmitted waveform that is not defined by the specification. This approach is not efficient anymore if we want to support longer CP. For example, in the 133us CP numerology 2 of the 3 symbols transmitted every 2ms would collide with the control region. </w:t>
      </w:r>
    </w:p>
    <w:p w14:paraId="4D7F2FB3" w14:textId="46A10D7E" w:rsidR="00AE22BC" w:rsidRDefault="00AE22BC" w:rsidP="00AC1A31">
      <w:pPr>
        <w:pStyle w:val="LGTdoc1"/>
        <w:spacing w:beforeLines="0" w:before="120" w:after="220" w:afterAutospacing="0"/>
        <w:rPr>
          <w:b w:val="0"/>
          <w:sz w:val="22"/>
          <w:szCs w:val="22"/>
        </w:rPr>
      </w:pPr>
      <w:r>
        <w:rPr>
          <w:b w:val="0"/>
          <w:sz w:val="22"/>
          <w:szCs w:val="22"/>
        </w:rPr>
        <w:t>In the case with 1 control symbol, for example, the 133us numerology can be replaced by a 200us numerology where the CP is punctured by the control region. The specification should allow for this type of operation (e.g. p</w:t>
      </w:r>
      <w:r w:rsidR="00CF632E">
        <w:rPr>
          <w:b w:val="0"/>
          <w:sz w:val="22"/>
          <w:szCs w:val="22"/>
        </w:rPr>
        <w:t>uncturing) for the new CP sizes if a legacy control region is needed.</w:t>
      </w:r>
    </w:p>
    <w:p w14:paraId="4074C5F3" w14:textId="6DB64D9A" w:rsidR="002E0275" w:rsidRDefault="002E0275" w:rsidP="00AC1A31">
      <w:pPr>
        <w:pStyle w:val="LGTdoc1"/>
        <w:spacing w:beforeLines="0" w:before="120" w:after="220" w:afterAutospacing="0"/>
        <w:rPr>
          <w:b w:val="0"/>
          <w:sz w:val="22"/>
          <w:szCs w:val="22"/>
        </w:rPr>
      </w:pPr>
      <w:r>
        <w:rPr>
          <w:b w:val="0"/>
          <w:sz w:val="22"/>
          <w:szCs w:val="22"/>
        </w:rPr>
        <w:t xml:space="preserve">In </w:t>
      </w:r>
      <w:r w:rsidR="00F853C4">
        <w:rPr>
          <w:b w:val="0"/>
          <w:sz w:val="22"/>
          <w:szCs w:val="22"/>
        </w:rPr>
        <w:t>Figure</w:t>
      </w:r>
      <w:r>
        <w:rPr>
          <w:b w:val="0"/>
          <w:sz w:val="22"/>
          <w:szCs w:val="22"/>
        </w:rPr>
        <w:t xml:space="preserve"> </w:t>
      </w:r>
      <w:r w:rsidR="00F853C4">
        <w:rPr>
          <w:b w:val="0"/>
          <w:sz w:val="22"/>
          <w:szCs w:val="22"/>
        </w:rPr>
        <w:t>2</w:t>
      </w:r>
      <w:r>
        <w:rPr>
          <w:b w:val="0"/>
          <w:sz w:val="22"/>
          <w:szCs w:val="22"/>
        </w:rPr>
        <w:t xml:space="preserve"> we show some of the </w:t>
      </w:r>
      <w:r w:rsidR="00F853C4">
        <w:rPr>
          <w:b w:val="0"/>
          <w:sz w:val="22"/>
          <w:szCs w:val="22"/>
        </w:rPr>
        <w:t>supported numerologies for compatibility with legacy UEs, where 1 or 2 OFDM symbols are used for control. Similar numerologies can be obtained for ECP.</w:t>
      </w:r>
      <w:r w:rsidR="00EB500A">
        <w:rPr>
          <w:b w:val="0"/>
          <w:sz w:val="22"/>
          <w:szCs w:val="22"/>
        </w:rPr>
        <w:t xml:space="preserve"> The FFT size is obtained as a number with prime factors of 2 and 3. For some of the cases, the multiplicity of the prime facto</w:t>
      </w:r>
      <w:r w:rsidR="00CF632E">
        <w:rPr>
          <w:b w:val="0"/>
          <w:sz w:val="22"/>
          <w:szCs w:val="22"/>
        </w:rPr>
        <w:t>r 3 may increase the computational complexity of the DFT operation.</w:t>
      </w:r>
    </w:p>
    <w:p w14:paraId="22D5416F" w14:textId="55C96E64" w:rsidR="00C244E4" w:rsidRDefault="00F853C4" w:rsidP="00F853C4">
      <w:pPr>
        <w:pStyle w:val="Caption"/>
        <w:jc w:val="center"/>
        <w:rPr>
          <w:b w:val="0"/>
          <w:sz w:val="22"/>
          <w:szCs w:val="22"/>
        </w:rPr>
      </w:pPr>
      <w:r>
        <w:rPr>
          <w:b w:val="0"/>
          <w:sz w:val="22"/>
          <w:szCs w:val="22"/>
        </w:rPr>
        <w:object w:dxaOrig="7809" w:dyaOrig="3475" w14:anchorId="65F97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174pt" o:ole="">
            <v:imagedata r:id="rId15" o:title=""/>
          </v:shape>
          <o:OLEObject Type="Embed" ProgID="Visio.Drawing.11" ShapeID="_x0000_i1025" DrawAspect="Content" ObjectID="_1521042990" r:id="rId16"/>
        </w:object>
      </w:r>
    </w:p>
    <w:p w14:paraId="505486EF" w14:textId="2B9CDDED" w:rsidR="00AF510D" w:rsidRPr="00AF510D" w:rsidRDefault="00AF510D" w:rsidP="00AF510D">
      <w:pPr>
        <w:jc w:val="center"/>
        <w:rPr>
          <w:rFonts w:ascii="Times New Roman"/>
          <w:b/>
          <w:kern w:val="0"/>
          <w:szCs w:val="20"/>
          <w:lang w:val="en-GB" w:eastAsia="en-US"/>
        </w:rPr>
      </w:pPr>
      <w:r w:rsidRPr="00AF510D">
        <w:rPr>
          <w:rFonts w:ascii="Times New Roman"/>
          <w:b/>
          <w:kern w:val="0"/>
          <w:szCs w:val="20"/>
          <w:lang w:val="en-GB" w:eastAsia="en-US"/>
        </w:rPr>
        <w:t xml:space="preserve">Figure </w:t>
      </w:r>
      <w:r w:rsidRPr="00AF510D">
        <w:rPr>
          <w:rFonts w:ascii="Times New Roman"/>
          <w:b/>
          <w:kern w:val="0"/>
          <w:szCs w:val="20"/>
          <w:lang w:val="en-GB" w:eastAsia="en-US"/>
        </w:rPr>
        <w:fldChar w:fldCharType="begin"/>
      </w:r>
      <w:r w:rsidRPr="00AF510D">
        <w:rPr>
          <w:rFonts w:ascii="Times New Roman"/>
          <w:b/>
          <w:kern w:val="0"/>
          <w:szCs w:val="20"/>
          <w:lang w:val="en-GB" w:eastAsia="en-US"/>
        </w:rPr>
        <w:instrText xml:space="preserve"> SEQ Figure \* ARABIC </w:instrText>
      </w:r>
      <w:r w:rsidRPr="00AF510D">
        <w:rPr>
          <w:rFonts w:ascii="Times New Roman"/>
          <w:b/>
          <w:kern w:val="0"/>
          <w:szCs w:val="20"/>
          <w:lang w:val="en-GB" w:eastAsia="en-US"/>
        </w:rPr>
        <w:fldChar w:fldCharType="separate"/>
      </w:r>
      <w:r w:rsidRPr="00AF510D">
        <w:rPr>
          <w:rFonts w:ascii="Times New Roman"/>
          <w:b/>
          <w:kern w:val="0"/>
          <w:szCs w:val="20"/>
          <w:lang w:val="en-GB" w:eastAsia="en-US"/>
        </w:rPr>
        <w:t>2</w:t>
      </w:r>
      <w:r w:rsidRPr="00AF510D">
        <w:rPr>
          <w:rFonts w:ascii="Times New Roman"/>
          <w:b/>
          <w:kern w:val="0"/>
          <w:szCs w:val="20"/>
          <w:lang w:val="en-GB" w:eastAsia="en-US"/>
        </w:rPr>
        <w:fldChar w:fldCharType="end"/>
      </w:r>
      <w:r w:rsidRPr="00AF510D">
        <w:rPr>
          <w:rFonts w:ascii="Times New Roman"/>
          <w:b/>
          <w:kern w:val="0"/>
          <w:szCs w:val="20"/>
          <w:lang w:val="en-GB" w:eastAsia="en-US"/>
        </w:rPr>
        <w:t xml:space="preserve"> Different CP options and numerologies for control and control-less MBSFN </w:t>
      </w:r>
      <w:proofErr w:type="spellStart"/>
      <w:r w:rsidRPr="00AF510D">
        <w:rPr>
          <w:rFonts w:ascii="Times New Roman"/>
          <w:b/>
          <w:kern w:val="0"/>
          <w:szCs w:val="20"/>
          <w:lang w:val="en-GB" w:eastAsia="en-US"/>
        </w:rPr>
        <w:t>subframes</w:t>
      </w:r>
      <w:proofErr w:type="spellEnd"/>
    </w:p>
    <w:p w14:paraId="202BF58F" w14:textId="77777777" w:rsidR="002E0275" w:rsidRDefault="002E0275" w:rsidP="00AC1A31">
      <w:pPr>
        <w:pStyle w:val="LGTdoc1"/>
        <w:spacing w:beforeLines="0" w:before="120" w:after="220" w:afterAutospacing="0"/>
        <w:rPr>
          <w:b w:val="0"/>
          <w:sz w:val="22"/>
          <w:szCs w:val="22"/>
        </w:rPr>
      </w:pPr>
    </w:p>
    <w:p w14:paraId="164E13D5" w14:textId="227535AB" w:rsidR="002E0275" w:rsidRDefault="002E0275" w:rsidP="00AC1A31">
      <w:pPr>
        <w:pStyle w:val="LGTdoc1"/>
        <w:spacing w:beforeLines="0" w:before="120" w:after="220" w:afterAutospacing="0"/>
        <w:rPr>
          <w:b w:val="0"/>
          <w:sz w:val="22"/>
          <w:szCs w:val="22"/>
        </w:rPr>
      </w:pPr>
    </w:p>
    <w:p w14:paraId="296332F3" w14:textId="1A45EC2D" w:rsidR="00AC1A31" w:rsidRPr="00CF632E" w:rsidRDefault="00AC1A31" w:rsidP="00AC1A31">
      <w:pPr>
        <w:pStyle w:val="LGTdoc1"/>
        <w:spacing w:beforeLines="0" w:before="120" w:after="220" w:afterAutospacing="0"/>
        <w:rPr>
          <w:sz w:val="22"/>
          <w:szCs w:val="22"/>
        </w:rPr>
      </w:pPr>
      <w:r w:rsidRPr="00CF632E">
        <w:rPr>
          <w:sz w:val="22"/>
          <w:szCs w:val="22"/>
          <w:u w:val="single"/>
        </w:rPr>
        <w:t>Proposal 1:</w:t>
      </w:r>
      <w:r w:rsidR="00AE22BC" w:rsidRPr="00CF632E">
        <w:rPr>
          <w:sz w:val="22"/>
          <w:szCs w:val="22"/>
        </w:rPr>
        <w:t xml:space="preserve"> Redefine the interaction between control and MBSFN regions to allow more flexible numerology</w:t>
      </w:r>
      <w:r w:rsidR="00276CED" w:rsidRPr="00CF632E">
        <w:rPr>
          <w:sz w:val="22"/>
          <w:szCs w:val="22"/>
        </w:rPr>
        <w:t>/CP</w:t>
      </w:r>
      <w:r w:rsidR="00AE22BC" w:rsidRPr="00CF632E">
        <w:rPr>
          <w:sz w:val="22"/>
          <w:szCs w:val="22"/>
        </w:rPr>
        <w:t xml:space="preserve"> options.</w:t>
      </w:r>
      <w:r w:rsidR="002E0275" w:rsidRPr="00CF632E">
        <w:rPr>
          <w:sz w:val="22"/>
          <w:szCs w:val="22"/>
        </w:rPr>
        <w:t xml:space="preserve"> </w:t>
      </w:r>
    </w:p>
    <w:p w14:paraId="55F4F079" w14:textId="33744F8D" w:rsidR="00450E77" w:rsidRDefault="00863371" w:rsidP="00B73B89">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MBSFN reference signal</w:t>
      </w:r>
      <w:r w:rsidR="00450E77">
        <w:rPr>
          <w:rFonts w:ascii="Arial" w:hAnsi="Arial" w:cs="Arial"/>
          <w:lang w:val="en-US"/>
        </w:rPr>
        <w:t xml:space="preserve"> design</w:t>
      </w:r>
    </w:p>
    <w:p w14:paraId="4179C22F" w14:textId="4153A5A7" w:rsidR="00863371" w:rsidRDefault="00863371" w:rsidP="00863371">
      <w:pPr>
        <w:pStyle w:val="LGTdoc1"/>
        <w:spacing w:beforeLines="0" w:before="120" w:after="220" w:afterAutospacing="0"/>
        <w:rPr>
          <w:rFonts w:ascii="Arial" w:hAnsi="Arial" w:cs="Arial"/>
          <w:lang w:val="en-US"/>
        </w:rPr>
      </w:pPr>
      <w:r>
        <w:rPr>
          <w:b w:val="0"/>
          <w:sz w:val="22"/>
          <w:szCs w:val="22"/>
        </w:rPr>
        <w:t xml:space="preserve">Similarly to CRS and legacy MBSFN reference signals, we propose to use a staggered structure for the demodulation reference signals. The reference signals should be designed taking into account the assumptions on maximum delay spread and maximum Doppler, which may be different for different numerology options. Due to the longer channel delay spread caused by the SFN operation in large cells, and possibly low mobility assumption for rooftop antennas in rural areas, the stagger period and frequency separation have to be redefined with respect to legacy MBSFN. </w:t>
      </w:r>
    </w:p>
    <w:p w14:paraId="5B0998F7" w14:textId="4106C3DF" w:rsidR="007B1BCE" w:rsidRPr="00CF632E" w:rsidRDefault="007B1BCE" w:rsidP="005300F0">
      <w:pPr>
        <w:pStyle w:val="LGTdoc1"/>
        <w:spacing w:beforeLines="0" w:before="120" w:after="220" w:afterAutospacing="0"/>
        <w:rPr>
          <w:sz w:val="22"/>
          <w:szCs w:val="22"/>
        </w:rPr>
      </w:pPr>
      <w:r w:rsidRPr="00CF632E">
        <w:rPr>
          <w:sz w:val="22"/>
          <w:szCs w:val="22"/>
          <w:u w:val="single"/>
        </w:rPr>
        <w:t>Proposal 2:</w:t>
      </w:r>
      <w:r w:rsidRPr="00CF632E">
        <w:rPr>
          <w:sz w:val="22"/>
          <w:szCs w:val="22"/>
        </w:rPr>
        <w:t xml:space="preserve"> Adopt </w:t>
      </w:r>
      <w:r w:rsidR="00863371" w:rsidRPr="00CF632E">
        <w:rPr>
          <w:sz w:val="22"/>
          <w:szCs w:val="22"/>
        </w:rPr>
        <w:t>staggered</w:t>
      </w:r>
      <w:r w:rsidRPr="00CF632E">
        <w:rPr>
          <w:sz w:val="22"/>
          <w:szCs w:val="22"/>
        </w:rPr>
        <w:t xml:space="preserve"> pattern for demodulation reference signals. Stagger period and frequency separation should be selected based on performance</w:t>
      </w:r>
      <w:r w:rsidR="00863371" w:rsidRPr="00CF632E">
        <w:rPr>
          <w:sz w:val="22"/>
          <w:szCs w:val="22"/>
        </w:rPr>
        <w:t>.</w:t>
      </w:r>
    </w:p>
    <w:p w14:paraId="261FB1BB" w14:textId="77777777" w:rsidR="00AE22BC" w:rsidRPr="00B448A6" w:rsidRDefault="00AE22BC" w:rsidP="005300F0">
      <w:pPr>
        <w:pStyle w:val="LGTdoc1"/>
        <w:spacing w:beforeLines="0" w:before="120" w:after="220" w:afterAutospacing="0"/>
        <w:rPr>
          <w:sz w:val="22"/>
          <w:szCs w:val="22"/>
          <w:u w:val="single"/>
          <w:lang w:val="en-US"/>
        </w:rPr>
      </w:pPr>
    </w:p>
    <w:p w14:paraId="22AA2E56" w14:textId="48B557A8" w:rsidR="0031486A" w:rsidRDefault="0031486A" w:rsidP="0031486A">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77D5F24C" w14:textId="5ABE623A" w:rsidR="00F853C4" w:rsidRPr="00CF632E" w:rsidRDefault="00F853C4" w:rsidP="00F853C4">
      <w:pPr>
        <w:pStyle w:val="LGTdoc1"/>
        <w:spacing w:beforeLines="0" w:before="120" w:after="220" w:afterAutospacing="0"/>
        <w:rPr>
          <w:sz w:val="22"/>
          <w:szCs w:val="22"/>
        </w:rPr>
      </w:pPr>
      <w:r w:rsidRPr="00CF632E">
        <w:rPr>
          <w:sz w:val="22"/>
          <w:szCs w:val="22"/>
          <w:u w:val="single"/>
        </w:rPr>
        <w:t>Proposal 1:</w:t>
      </w:r>
      <w:r w:rsidRPr="00CF632E">
        <w:rPr>
          <w:sz w:val="22"/>
          <w:szCs w:val="22"/>
        </w:rPr>
        <w:t xml:space="preserve"> Redefine the interaction between control and MBSFN regions to allow more flexible numerology/CP options. </w:t>
      </w:r>
    </w:p>
    <w:p w14:paraId="39962693" w14:textId="1DC6AD35" w:rsidR="00863371" w:rsidRPr="00CF632E" w:rsidRDefault="00863371" w:rsidP="00F853C4">
      <w:pPr>
        <w:pStyle w:val="LGTdoc1"/>
        <w:spacing w:beforeLines="0" w:before="120" w:after="220" w:afterAutospacing="0"/>
        <w:rPr>
          <w:sz w:val="22"/>
          <w:szCs w:val="22"/>
        </w:rPr>
      </w:pPr>
      <w:r w:rsidRPr="00CF632E">
        <w:rPr>
          <w:sz w:val="22"/>
          <w:szCs w:val="22"/>
          <w:u w:val="single"/>
        </w:rPr>
        <w:t>Proposal 2:</w:t>
      </w:r>
      <w:r w:rsidRPr="00CF632E">
        <w:rPr>
          <w:sz w:val="22"/>
          <w:szCs w:val="22"/>
        </w:rPr>
        <w:t xml:space="preserve"> Adopt staggered pattern for demodulation reference signals. Stagger period and frequency separation should be selected based on performance.</w:t>
      </w:r>
    </w:p>
    <w:p w14:paraId="5C8C5426" w14:textId="77777777" w:rsidR="00276CED" w:rsidRDefault="00276CED" w:rsidP="00E77804">
      <w:pPr>
        <w:pStyle w:val="LGTdoc1"/>
        <w:spacing w:beforeLines="0" w:before="120" w:after="220" w:afterAutospacing="0"/>
        <w:rPr>
          <w:rFonts w:ascii="Arial" w:hAnsi="Arial" w:cs="Arial"/>
        </w:rPr>
      </w:pPr>
    </w:p>
    <w:p w14:paraId="5052A127" w14:textId="77777777" w:rsidR="00863371" w:rsidRDefault="00863371" w:rsidP="00E77804">
      <w:pPr>
        <w:pStyle w:val="LGTdoc1"/>
        <w:spacing w:beforeLines="0" w:before="120" w:after="220" w:afterAutospacing="0"/>
        <w:rPr>
          <w:rFonts w:ascii="Arial" w:hAnsi="Arial" w:cs="Arial"/>
          <w:lang w:val="en-US"/>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7B2A22B3" w:rsidR="00111B9A" w:rsidRPr="002B7F75"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w:t>
      </w:r>
      <w:r w:rsidR="00B24B1B">
        <w:rPr>
          <w:b w:val="0"/>
          <w:sz w:val="22"/>
          <w:szCs w:val="22"/>
        </w:rPr>
        <w:t xml:space="preserve">comm Inc. Nokia Networks, EBU;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bookmarkStart w:id="2" w:name="_GoBack"/>
      <w:bookmarkEnd w:id="2"/>
    </w:p>
    <w:sectPr w:rsidR="00111B9A" w:rsidRPr="002B7F75"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1A877" w14:textId="77777777" w:rsidR="00FC6896" w:rsidRDefault="00FC6896">
      <w:r>
        <w:separator/>
      </w:r>
    </w:p>
  </w:endnote>
  <w:endnote w:type="continuationSeparator" w:id="0">
    <w:p w14:paraId="50A66D2E" w14:textId="77777777" w:rsidR="00FC6896" w:rsidRDefault="00FC6896">
      <w:r>
        <w:continuationSeparator/>
      </w:r>
    </w:p>
  </w:endnote>
  <w:endnote w:type="continuationNotice" w:id="1">
    <w:p w14:paraId="6467253A" w14:textId="77777777" w:rsidR="00FC6896" w:rsidRDefault="00FC6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E0275" w:rsidRDefault="002E02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24B1B">
      <w:rPr>
        <w:rStyle w:val="PageNumber"/>
        <w:noProof/>
      </w:rPr>
      <w:t>3</w:t>
    </w:r>
    <w:r>
      <w:rPr>
        <w:rStyle w:val="PageNumber"/>
      </w:rPr>
      <w:fldChar w:fldCharType="end"/>
    </w:r>
  </w:p>
  <w:p w14:paraId="5BFA00B5" w14:textId="77777777" w:rsidR="002E0275" w:rsidRDefault="002E02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638BB" w14:textId="77777777" w:rsidR="00FC6896" w:rsidRDefault="00FC6896">
      <w:r>
        <w:separator/>
      </w:r>
    </w:p>
  </w:footnote>
  <w:footnote w:type="continuationSeparator" w:id="0">
    <w:p w14:paraId="3215CD8E" w14:textId="77777777" w:rsidR="00FC6896" w:rsidRDefault="00FC6896">
      <w:r>
        <w:continuationSeparator/>
      </w:r>
    </w:p>
  </w:footnote>
  <w:footnote w:type="continuationNotice" w:id="1">
    <w:p w14:paraId="625F419E" w14:textId="77777777" w:rsidR="00FC6896" w:rsidRDefault="00FC689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B6391"/>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28"/>
  </w:num>
  <w:num w:numId="4">
    <w:abstractNumId w:val="44"/>
  </w:num>
  <w:num w:numId="5">
    <w:abstractNumId w:val="45"/>
  </w:num>
  <w:num w:numId="6">
    <w:abstractNumId w:val="34"/>
  </w:num>
  <w:num w:numId="7">
    <w:abstractNumId w:val="9"/>
  </w:num>
  <w:num w:numId="8">
    <w:abstractNumId w:val="2"/>
  </w:num>
  <w:num w:numId="9">
    <w:abstractNumId w:val="36"/>
  </w:num>
  <w:num w:numId="10">
    <w:abstractNumId w:val="22"/>
  </w:num>
  <w:num w:numId="11">
    <w:abstractNumId w:val="26"/>
  </w:num>
  <w:num w:numId="12">
    <w:abstractNumId w:val="8"/>
  </w:num>
  <w:num w:numId="13">
    <w:abstractNumId w:val="39"/>
  </w:num>
  <w:num w:numId="14">
    <w:abstractNumId w:val="27"/>
  </w:num>
  <w:num w:numId="15">
    <w:abstractNumId w:val="20"/>
  </w:num>
  <w:num w:numId="16">
    <w:abstractNumId w:val="37"/>
  </w:num>
  <w:num w:numId="17">
    <w:abstractNumId w:val="32"/>
  </w:num>
  <w:num w:numId="18">
    <w:abstractNumId w:val="25"/>
  </w:num>
  <w:num w:numId="19">
    <w:abstractNumId w:val="13"/>
  </w:num>
  <w:num w:numId="20">
    <w:abstractNumId w:val="15"/>
  </w:num>
  <w:num w:numId="21">
    <w:abstractNumId w:val="33"/>
  </w:num>
  <w:num w:numId="22">
    <w:abstractNumId w:val="3"/>
  </w:num>
  <w:num w:numId="23">
    <w:abstractNumId w:val="24"/>
  </w:num>
  <w:num w:numId="24">
    <w:abstractNumId w:val="29"/>
  </w:num>
  <w:num w:numId="25">
    <w:abstractNumId w:val="35"/>
  </w:num>
  <w:num w:numId="26">
    <w:abstractNumId w:val="7"/>
  </w:num>
  <w:num w:numId="27">
    <w:abstractNumId w:val="1"/>
  </w:num>
  <w:num w:numId="28">
    <w:abstractNumId w:val="38"/>
  </w:num>
  <w:num w:numId="29">
    <w:abstractNumId w:val="6"/>
  </w:num>
  <w:num w:numId="30">
    <w:abstractNumId w:val="40"/>
  </w:num>
  <w:num w:numId="31">
    <w:abstractNumId w:val="5"/>
  </w:num>
  <w:num w:numId="32">
    <w:abstractNumId w:val="23"/>
  </w:num>
  <w:num w:numId="33">
    <w:abstractNumId w:val="19"/>
  </w:num>
  <w:num w:numId="34">
    <w:abstractNumId w:val="42"/>
  </w:num>
  <w:num w:numId="35">
    <w:abstractNumId w:val="30"/>
  </w:num>
  <w:num w:numId="36">
    <w:abstractNumId w:val="17"/>
  </w:num>
  <w:num w:numId="37">
    <w:abstractNumId w:val="43"/>
  </w:num>
  <w:num w:numId="38">
    <w:abstractNumId w:val="21"/>
  </w:num>
  <w:num w:numId="39">
    <w:abstractNumId w:val="10"/>
  </w:num>
  <w:num w:numId="40">
    <w:abstractNumId w:val="12"/>
  </w:num>
  <w:num w:numId="41">
    <w:abstractNumId w:val="11"/>
  </w:num>
  <w:num w:numId="42">
    <w:abstractNumId w:val="4"/>
  </w:num>
  <w:num w:numId="43">
    <w:abstractNumId w:val="0"/>
  </w:num>
  <w:num w:numId="44">
    <w:abstractNumId w:val="41"/>
  </w:num>
  <w:num w:numId="45">
    <w:abstractNumId w:val="14"/>
  </w:num>
  <w:num w:numId="46">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6CED"/>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C29"/>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F75"/>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275"/>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86A"/>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46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E77"/>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580"/>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71A"/>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BCE"/>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7B"/>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71"/>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2A9"/>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EF7"/>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A31"/>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2BC"/>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0D"/>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B1B"/>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8A6"/>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B89"/>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CCC"/>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4E4"/>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148"/>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17F"/>
    <w:rsid w:val="00CF4326"/>
    <w:rsid w:val="00CF465B"/>
    <w:rsid w:val="00CF473E"/>
    <w:rsid w:val="00CF4D98"/>
    <w:rsid w:val="00CF4DBA"/>
    <w:rsid w:val="00CF4F6B"/>
    <w:rsid w:val="00CF58C1"/>
    <w:rsid w:val="00CF5AD4"/>
    <w:rsid w:val="00CF5D9B"/>
    <w:rsid w:val="00CF5E5F"/>
    <w:rsid w:val="00CF601A"/>
    <w:rsid w:val="00CF60AD"/>
    <w:rsid w:val="00CF632E"/>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00A"/>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3C4"/>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896"/>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397058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5ACTRJNS4X5K-3-3455</_dlc_DocId>
    <_dlc_DocIdUrl xmlns="09bf1062-b00c-4aa1-ba18-87ca9e63a56e">
      <Url>https://projects.qualcomm.com/sites/espresso/_layouts/15/DocIdRedir.aspx?ID=5ACTRJNS4X5K-3-3455</Url>
      <Description>5ACTRJNS4X5K-3-3455</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6D5E7D-8BD9-4A5F-BDDB-6F0C605563DE}">
  <ds:schemaRefs>
    <ds:schemaRef ds:uri="http://schemas.openxmlformats.org/officeDocument/2006/bibliography"/>
  </ds:schemaRefs>
</ds:datastoreItem>
</file>

<file path=customXml/itemProps7.xml><?xml version="1.0" encoding="utf-8"?>
<ds:datastoreItem xmlns:ds="http://schemas.openxmlformats.org/officeDocument/2006/customXml" ds:itemID="{F8B2A7D4-8F69-455F-AF15-13C34C0E5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3</Pages>
  <Words>762</Words>
  <Characters>4348</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23</cp:revision>
  <cp:lastPrinted>2010-08-13T21:54:00Z</cp:lastPrinted>
  <dcterms:created xsi:type="dcterms:W3CDTF">2016-03-22T22:35:00Z</dcterms:created>
  <dcterms:modified xsi:type="dcterms:W3CDTF">2016-04-02T02:10:00Z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a6668fb8-ffc4-454a-8af8-96104847c84b</vt:lpwstr>
  </property>
</Properties>
</file>